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FA1" w:rsidRPr="009E7AD2" w:rsidRDefault="00B90FA1" w:rsidP="00FD7290">
      <w:pPr>
        <w:tabs>
          <w:tab w:val="left" w:pos="-540"/>
        </w:tabs>
        <w:spacing w:line="240" w:lineRule="auto"/>
        <w:ind w:left="-539"/>
        <w:contextualSpacing/>
        <w:jc w:val="right"/>
        <w:rPr>
          <w:rFonts w:ascii="Times New Roman" w:hAnsi="Times New Roman" w:cs="Times New Roman"/>
          <w:bCs/>
          <w:sz w:val="24"/>
          <w:szCs w:val="24"/>
        </w:rPr>
      </w:pPr>
      <w:r w:rsidRPr="009E7AD2">
        <w:rPr>
          <w:rFonts w:ascii="Times New Roman" w:hAnsi="Times New Roman" w:cs="Times New Roman"/>
          <w:bCs/>
          <w:sz w:val="24"/>
          <w:szCs w:val="24"/>
        </w:rPr>
        <w:t xml:space="preserve">Приложение 3 </w:t>
      </w:r>
    </w:p>
    <w:p w:rsidR="00B90FA1" w:rsidRPr="009E7AD2" w:rsidRDefault="00B90FA1" w:rsidP="00B90FA1">
      <w:pPr>
        <w:tabs>
          <w:tab w:val="left" w:pos="-540"/>
        </w:tabs>
        <w:spacing w:line="240" w:lineRule="auto"/>
        <w:ind w:left="-539"/>
        <w:contextualSpacing/>
        <w:jc w:val="right"/>
        <w:rPr>
          <w:rFonts w:ascii="Times New Roman" w:hAnsi="Times New Roman" w:cs="Times New Roman"/>
          <w:b/>
          <w:bCs/>
          <w:sz w:val="28"/>
        </w:rPr>
      </w:pPr>
      <w:r w:rsidRPr="009E7AD2">
        <w:rPr>
          <w:rFonts w:ascii="Times New Roman" w:hAnsi="Times New Roman" w:cs="Times New Roman"/>
          <w:bCs/>
          <w:sz w:val="24"/>
          <w:szCs w:val="24"/>
        </w:rPr>
        <w:t>к решению от 19.12.2016г. № 06-29</w:t>
      </w:r>
    </w:p>
    <w:p w:rsidR="00B90FA1" w:rsidRPr="009E7AD2" w:rsidRDefault="00B90FA1" w:rsidP="00B90FA1">
      <w:pPr>
        <w:rPr>
          <w:sz w:val="28"/>
        </w:rPr>
      </w:pPr>
    </w:p>
    <w:tbl>
      <w:tblPr>
        <w:tblW w:w="10785" w:type="dxa"/>
        <w:tblInd w:w="-690" w:type="dxa"/>
        <w:tblLayout w:type="fixed"/>
        <w:tblCellMar>
          <w:left w:w="30" w:type="dxa"/>
          <w:right w:w="30" w:type="dxa"/>
        </w:tblCellMar>
        <w:tblLook w:val="04A0" w:firstRow="1" w:lastRow="0" w:firstColumn="1" w:lastColumn="0" w:noHBand="0" w:noVBand="1"/>
      </w:tblPr>
      <w:tblGrid>
        <w:gridCol w:w="1261"/>
        <w:gridCol w:w="2578"/>
        <w:gridCol w:w="51"/>
        <w:gridCol w:w="73"/>
        <w:gridCol w:w="18"/>
        <w:gridCol w:w="6804"/>
      </w:tblGrid>
      <w:tr w:rsidR="00B90FA1" w:rsidRPr="009E7AD2" w:rsidTr="00B90FA1">
        <w:trPr>
          <w:trHeight w:val="348"/>
        </w:trPr>
        <w:tc>
          <w:tcPr>
            <w:tcW w:w="10785" w:type="dxa"/>
            <w:gridSpan w:val="6"/>
            <w:hideMark/>
          </w:tcPr>
          <w:p w:rsidR="00B90FA1" w:rsidRPr="009E7AD2" w:rsidRDefault="00B90FA1">
            <w:pPr>
              <w:spacing w:after="0" w:line="240" w:lineRule="auto"/>
              <w:jc w:val="center"/>
              <w:rPr>
                <w:rFonts w:ascii="Times New Roman" w:hAnsi="Times New Roman" w:cs="Times New Roman"/>
                <w:b/>
                <w:sz w:val="28"/>
                <w:lang w:eastAsia="en-US"/>
              </w:rPr>
            </w:pPr>
            <w:r w:rsidRPr="009E7AD2">
              <w:rPr>
                <w:rFonts w:ascii="Times New Roman" w:hAnsi="Times New Roman" w:cs="Times New Roman"/>
                <w:b/>
                <w:sz w:val="28"/>
                <w:lang w:eastAsia="en-US"/>
              </w:rPr>
              <w:t xml:space="preserve">Перечень главных администраторов доходов бюджета </w:t>
            </w:r>
          </w:p>
          <w:p w:rsidR="00B90FA1" w:rsidRPr="009E7AD2" w:rsidRDefault="00B90FA1">
            <w:pPr>
              <w:spacing w:after="0" w:line="240" w:lineRule="auto"/>
              <w:jc w:val="center"/>
              <w:rPr>
                <w:rFonts w:ascii="Times New Roman" w:hAnsi="Times New Roman" w:cs="Times New Roman"/>
                <w:b/>
                <w:sz w:val="28"/>
                <w:lang w:eastAsia="en-US"/>
              </w:rPr>
            </w:pPr>
            <w:r w:rsidRPr="009E7AD2">
              <w:rPr>
                <w:rFonts w:ascii="Times New Roman" w:hAnsi="Times New Roman" w:cs="Times New Roman"/>
                <w:b/>
                <w:sz w:val="28"/>
                <w:lang w:eastAsia="en-US"/>
              </w:rPr>
              <w:t>Дергачевского муниципального района</w:t>
            </w:r>
          </w:p>
          <w:p w:rsidR="00B90FA1" w:rsidRPr="009E7AD2" w:rsidRDefault="00B90FA1">
            <w:pPr>
              <w:spacing w:after="0" w:line="240" w:lineRule="auto"/>
              <w:jc w:val="center"/>
              <w:rPr>
                <w:rFonts w:ascii="Times New Roman" w:hAnsi="Times New Roman" w:cs="Times New Roman"/>
                <w:b/>
                <w:sz w:val="28"/>
                <w:lang w:eastAsia="en-US"/>
              </w:rPr>
            </w:pPr>
            <w:r w:rsidRPr="009E7AD2">
              <w:rPr>
                <w:rFonts w:ascii="Times New Roman" w:hAnsi="Times New Roman" w:cs="Times New Roman"/>
                <w:b/>
                <w:sz w:val="28"/>
                <w:lang w:eastAsia="en-US"/>
              </w:rPr>
              <w:t>на очередной финансовый 2017 год</w:t>
            </w:r>
          </w:p>
        </w:tc>
      </w:tr>
      <w:tr w:rsidR="00273F2A" w:rsidRPr="009E7AD2" w:rsidTr="00B90FA1">
        <w:trPr>
          <w:trHeight w:val="348"/>
        </w:trPr>
        <w:tc>
          <w:tcPr>
            <w:tcW w:w="10785" w:type="dxa"/>
            <w:gridSpan w:val="6"/>
          </w:tcPr>
          <w:p w:rsidR="00273F2A" w:rsidRDefault="00273F2A" w:rsidP="00273F2A">
            <w:pPr>
              <w:autoSpaceDE w:val="0"/>
              <w:autoSpaceDN w:val="0"/>
              <w:adjustRightInd w:val="0"/>
              <w:jc w:val="center"/>
              <w:rPr>
                <w:rFonts w:ascii="Times New Roman" w:hAnsi="Times New Roman" w:cs="Times New Roman"/>
                <w:bCs/>
                <w:i/>
                <w:color w:val="000000"/>
                <w:sz w:val="24"/>
                <w:szCs w:val="24"/>
                <w:lang w:eastAsia="en-US"/>
              </w:rPr>
            </w:pPr>
          </w:p>
          <w:p w:rsidR="00273F2A" w:rsidRPr="009E7AD2" w:rsidRDefault="00273F2A" w:rsidP="00273F2A">
            <w:pPr>
              <w:autoSpaceDE w:val="0"/>
              <w:autoSpaceDN w:val="0"/>
              <w:adjustRightInd w:val="0"/>
              <w:jc w:val="center"/>
              <w:rPr>
                <w:rFonts w:ascii="Times New Roman" w:hAnsi="Times New Roman" w:cs="Times New Roman"/>
                <w:b/>
                <w:sz w:val="28"/>
                <w:lang w:eastAsia="en-US"/>
              </w:rPr>
            </w:pPr>
            <w:r>
              <w:rPr>
                <w:rFonts w:ascii="Times New Roman" w:hAnsi="Times New Roman" w:cs="Times New Roman"/>
                <w:bCs/>
                <w:i/>
                <w:color w:val="000000"/>
                <w:sz w:val="24"/>
                <w:szCs w:val="24"/>
                <w:lang w:eastAsia="en-US"/>
              </w:rPr>
              <w:t>( в редакции решений от 30.12.2016 г. № 07-37, от 28.02.2017 г. № 09-48, от 27.03.2017 г. № 10-58</w:t>
            </w:r>
            <w:r>
              <w:rPr>
                <w:rFonts w:ascii="Times New Roman" w:hAnsi="Times New Roman" w:cs="Times New Roman"/>
                <w:bCs/>
                <w:i/>
                <w:color w:val="000000"/>
                <w:sz w:val="24"/>
                <w:szCs w:val="24"/>
                <w:lang w:eastAsia="en-US"/>
              </w:rPr>
              <w:t>, от 29.06.2017 г. № 14-79</w:t>
            </w:r>
            <w:bookmarkStart w:id="0" w:name="_GoBack"/>
            <w:bookmarkEnd w:id="0"/>
            <w:r>
              <w:rPr>
                <w:rFonts w:ascii="Times New Roman" w:hAnsi="Times New Roman" w:cs="Times New Roman"/>
                <w:bCs/>
                <w:i/>
                <w:color w:val="000000"/>
                <w:sz w:val="24"/>
                <w:szCs w:val="24"/>
                <w:lang w:eastAsia="en-US"/>
              </w:rPr>
              <w:t>)</w:t>
            </w:r>
          </w:p>
        </w:tc>
      </w:tr>
      <w:tr w:rsidR="00B90FA1" w:rsidRPr="009E7AD2" w:rsidTr="00B90FA1">
        <w:trPr>
          <w:trHeight w:val="822"/>
        </w:trPr>
        <w:tc>
          <w:tcPr>
            <w:tcW w:w="1261" w:type="dxa"/>
            <w:tcBorders>
              <w:top w:val="single" w:sz="4"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sidRPr="009E7AD2">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sidRPr="009E7AD2">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sidRPr="009E7AD2">
              <w:rPr>
                <w:rFonts w:ascii="Times New Roman" w:hAnsi="Times New Roman" w:cs="Times New Roman"/>
                <w:bCs/>
                <w:color w:val="000000"/>
                <w:sz w:val="20"/>
                <w:szCs w:val="20"/>
                <w:lang w:eastAsia="en-US"/>
              </w:rPr>
              <w:t>Наименование</w:t>
            </w:r>
          </w:p>
        </w:tc>
      </w:tr>
      <w:tr w:rsidR="00B90FA1" w:rsidRPr="009E7AD2" w:rsidTr="00B90FA1">
        <w:trPr>
          <w:trHeight w:val="333"/>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jc w:val="center"/>
              <w:rPr>
                <w:rFonts w:ascii="Times New Roman" w:hAnsi="Times New Roman" w:cs="Times New Roman"/>
                <w:b/>
                <w:bCs/>
                <w:color w:val="000000"/>
                <w:lang w:eastAsia="en-US"/>
              </w:rPr>
            </w:pPr>
            <w:r w:rsidRPr="009E7AD2">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jc w:val="center"/>
              <w:rPr>
                <w:rFonts w:ascii="Times New Roman" w:hAnsi="Times New Roman" w:cs="Times New Roman"/>
                <w:b/>
                <w:bCs/>
                <w:color w:val="000000"/>
                <w:lang w:eastAsia="en-US"/>
              </w:rPr>
            </w:pPr>
            <w:r w:rsidRPr="009E7AD2">
              <w:rPr>
                <w:rFonts w:ascii="Times New Roman" w:hAnsi="Times New Roman" w:cs="Times New Roman"/>
                <w:b/>
                <w:bCs/>
                <w:color w:val="000000"/>
                <w:lang w:eastAsia="en-US"/>
              </w:rPr>
              <w:t>Администрация Дергачевского муниципального района</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rPr>
            </w:pPr>
            <w:r w:rsidRPr="009E7AD2">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both"/>
              <w:rPr>
                <w:rFonts w:ascii="Times New Roman" w:hAnsi="Times New Roman" w:cs="Times New Roman"/>
                <w:bCs/>
              </w:rPr>
            </w:pPr>
            <w:r w:rsidRPr="009E7AD2">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rPr>
                <w:rFonts w:ascii="Times New Roman" w:hAnsi="Times New Roman" w:cs="Times New Roman"/>
                <w:bCs/>
              </w:rPr>
            </w:pPr>
            <w:proofErr w:type="gramStart"/>
            <w:r w:rsidRPr="009E7AD2">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90FA1" w:rsidRPr="009E7AD2" w:rsidTr="00B90FA1">
        <w:trPr>
          <w:trHeight w:val="869"/>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w:t>
            </w:r>
            <w:r w:rsidRPr="009E7AD2">
              <w:rPr>
                <w:rFonts w:ascii="Times New Roman" w:hAnsi="Times New Roman" w:cs="Times New Roman"/>
                <w:bCs/>
                <w:color w:val="000000"/>
                <w:lang w:eastAsia="en-US"/>
              </w:rPr>
              <w:lastRenderedPageBreak/>
              <w:t>имущества муниципальных унитарных предприятий, в том числе казенных)</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color w:val="000000"/>
                <w:lang w:eastAsia="en-US"/>
              </w:rPr>
            </w:pPr>
            <w:r w:rsidRPr="009E7AD2">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B90FA1" w:rsidRPr="009E7AD2" w:rsidTr="00B90FA1">
        <w:trPr>
          <w:trHeight w:val="696"/>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B90FA1" w:rsidRPr="009E7AD2" w:rsidTr="00B90FA1">
        <w:trPr>
          <w:trHeight w:val="833"/>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B90FA1" w:rsidRPr="009E7AD2" w:rsidTr="00B90FA1">
        <w:trPr>
          <w:trHeight w:val="269"/>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w:t>
            </w:r>
            <w:r w:rsidRPr="009E7AD2">
              <w:rPr>
                <w:rFonts w:ascii="Times New Roman" w:hAnsi="Times New Roman" w:cs="Times New Roman"/>
                <w:sz w:val="24"/>
                <w:lang w:eastAsia="en-US"/>
              </w:rPr>
              <w:lastRenderedPageBreak/>
              <w:t>учреждений)</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B90FA1" w:rsidRPr="009E7AD2"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pStyle w:val="a8"/>
              <w:spacing w:after="0"/>
              <w:rPr>
                <w:rFonts w:ascii="Times New Roman" w:hAnsi="Times New Roman" w:cs="Times New Roman"/>
                <w:sz w:val="24"/>
                <w:lang w:eastAsia="en-US"/>
              </w:rPr>
            </w:pPr>
            <w:r w:rsidRPr="009E7AD2">
              <w:rPr>
                <w:rFonts w:ascii="Times New Roman" w:hAnsi="Times New Roman" w:cs="Times New Roman"/>
                <w:sz w:val="24"/>
                <w:lang w:eastAsia="en-US"/>
              </w:rPr>
              <w:t>Невыясненные поступления, зачисляемые в бюджеты муниципальных районов</w:t>
            </w:r>
          </w:p>
        </w:tc>
      </w:tr>
      <w:tr w:rsidR="00B90FA1" w:rsidRPr="009E7AD2" w:rsidTr="00B90FA1">
        <w:trPr>
          <w:trHeight w:val="338"/>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Прочие неналоговые доходы бюджетов муниципальных районов</w:t>
            </w:r>
          </w:p>
        </w:tc>
      </w:tr>
      <w:tr w:rsidR="00B90FA1" w:rsidRPr="009E7AD2" w:rsidTr="00B90FA1">
        <w:trPr>
          <w:trHeight w:val="611"/>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B90FA1" w:rsidRPr="009E7AD2" w:rsidTr="00B90FA1">
        <w:trPr>
          <w:trHeight w:val="611"/>
        </w:trPr>
        <w:tc>
          <w:tcPr>
            <w:tcW w:w="1261" w:type="dxa"/>
            <w:tcBorders>
              <w:top w:val="single" w:sz="6" w:space="0" w:color="auto"/>
              <w:left w:val="single" w:sz="6" w:space="0" w:color="auto"/>
              <w:bottom w:val="single" w:sz="6" w:space="0" w:color="auto"/>
              <w:right w:val="single" w:sz="6" w:space="0" w:color="auto"/>
            </w:tcBorders>
            <w:hideMark/>
          </w:tcPr>
          <w:p w:rsidR="00B90FA1" w:rsidRPr="009E7AD2" w:rsidRDefault="00B90FA1">
            <w:pPr>
              <w:spacing w:after="0"/>
              <w:jc w:val="center"/>
              <w:rPr>
                <w:rFonts w:ascii="Times New Roman" w:hAnsi="Times New Roman" w:cs="Times New Roman"/>
                <w:bCs/>
                <w:color w:val="000000"/>
                <w:lang w:eastAsia="en-US"/>
              </w:rPr>
            </w:pPr>
            <w:r w:rsidRPr="009E7AD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Pr="009E7AD2" w:rsidRDefault="00B90FA1">
            <w:pPr>
              <w:autoSpaceDE w:val="0"/>
              <w:autoSpaceDN w:val="0"/>
              <w:adjustRightInd w:val="0"/>
              <w:spacing w:after="0"/>
              <w:rPr>
                <w:rFonts w:ascii="Times New Roman" w:hAnsi="Times New Roman" w:cs="Times New Roman"/>
                <w:bCs/>
                <w:color w:val="000000"/>
                <w:lang w:eastAsia="en-US"/>
              </w:rPr>
            </w:pPr>
            <w:r w:rsidRPr="009E7AD2">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90FA1" w:rsidRPr="009E7AD2" w:rsidTr="00B90FA1">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pStyle w:val="3"/>
              <w:spacing w:before="0"/>
              <w:jc w:val="center"/>
              <w:rPr>
                <w:rFonts w:ascii="Times New Roman" w:hAnsi="Times New Roman" w:cs="Times New Roman"/>
                <w:color w:val="auto"/>
                <w:sz w:val="24"/>
                <w:lang w:eastAsia="en-US"/>
              </w:rPr>
            </w:pPr>
            <w:r w:rsidRPr="009E7AD2">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pStyle w:val="3"/>
              <w:spacing w:before="0"/>
              <w:jc w:val="center"/>
              <w:rPr>
                <w:rFonts w:ascii="Times New Roman" w:hAnsi="Times New Roman" w:cs="Times New Roman"/>
                <w:color w:val="auto"/>
                <w:sz w:val="24"/>
                <w:lang w:eastAsia="en-US"/>
              </w:rPr>
            </w:pPr>
            <w:r w:rsidRPr="009E7AD2">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B90FA1" w:rsidRPr="009E7AD2" w:rsidTr="00B90FA1">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1 11 03050 05 0000 1 20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B90FA1" w:rsidRPr="009E7AD2" w:rsidTr="00B90FA1">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B90FA1" w:rsidRPr="009E7AD2" w:rsidTr="00B90FA1">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Прочие доходы от компенсации затрат бюджетов муниципальных районов</w:t>
            </w:r>
          </w:p>
        </w:tc>
      </w:tr>
      <w:tr w:rsidR="00B90FA1" w:rsidRPr="009E7AD2" w:rsidTr="00B90FA1">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Невыясненные поступления, зачисляемые в бюджеты муниципальных районов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Прочие неналоговые доходы бюджетов муниципальных районов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2 02 10000 00 0000 151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
                <w:bCs/>
                <w:lang w:eastAsia="en-US"/>
              </w:rPr>
            </w:pPr>
            <w:r w:rsidRPr="009E7AD2">
              <w:rPr>
                <w:rFonts w:ascii="Times New Roman" w:hAnsi="Times New Roman" w:cs="Times New Roman"/>
                <w:b/>
                <w:bCs/>
                <w:lang w:eastAsia="en-US"/>
              </w:rPr>
              <w:t xml:space="preserve">Дотации </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2 02 15001 05 0002 151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2 02 15002 05 0000 151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rsidP="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2 02 20000 00 0000 151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
                <w:bCs/>
                <w:lang w:eastAsia="en-US"/>
              </w:rPr>
            </w:pPr>
            <w:r w:rsidRPr="009E7AD2">
              <w:rPr>
                <w:rFonts w:ascii="Times New Roman" w:hAnsi="Times New Roman" w:cs="Times New Roman"/>
                <w:b/>
                <w:bCs/>
                <w:lang w:eastAsia="en-US"/>
              </w:rPr>
              <w:t>Субсидии</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2 02 20051 05 0000 151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B90FA1" w:rsidRPr="009E7AD2" w:rsidTr="00C34B00">
        <w:trPr>
          <w:trHeight w:val="8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2 02 25064 05 0000 151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34B00" w:rsidRPr="009E7AD2" w:rsidRDefault="00B90FA1" w:rsidP="00C34B00">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на государственную поддержку малого предпринимательства, включая крестьянские (фермерские) хозяйства</w:t>
            </w:r>
          </w:p>
        </w:tc>
      </w:tr>
      <w:tr w:rsidR="00C34B00" w:rsidRPr="009E7AD2" w:rsidTr="00B90FA1">
        <w:trPr>
          <w:trHeight w:val="33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34B00" w:rsidRPr="009E7AD2" w:rsidRDefault="00C34B00" w:rsidP="00C34B00">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34B00" w:rsidRPr="009E7AD2" w:rsidRDefault="00C34B00" w:rsidP="00C34B00">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2 02 25519 05 0000 151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34B00" w:rsidRPr="009E7AD2" w:rsidRDefault="00C34B00" w:rsidP="00C34B00">
            <w:pPr>
              <w:spacing w:after="0"/>
              <w:rPr>
                <w:rFonts w:ascii="Times New Roman" w:hAnsi="Times New Roman" w:cs="Times New Roman"/>
                <w:bCs/>
                <w:lang w:eastAsia="en-US"/>
              </w:rPr>
            </w:pPr>
            <w:r w:rsidRPr="009E7AD2">
              <w:rPr>
                <w:rFonts w:ascii="Times New Roman" w:hAnsi="Times New Roman" w:cs="Times New Roman"/>
                <w:bCs/>
                <w:lang w:eastAsia="en-US"/>
              </w:rPr>
              <w:t xml:space="preserve">Субсидия </w:t>
            </w:r>
            <w:r w:rsidR="00AE4BFE" w:rsidRPr="009E7AD2">
              <w:rPr>
                <w:rFonts w:ascii="Times New Roman" w:hAnsi="Times New Roman" w:cs="Times New Roman"/>
                <w:bCs/>
                <w:lang w:eastAsia="en-US"/>
              </w:rPr>
              <w:t xml:space="preserve">бюджетам муниципальных районов </w:t>
            </w:r>
            <w:r w:rsidRPr="009E7AD2">
              <w:rPr>
                <w:rFonts w:ascii="Times New Roman" w:hAnsi="Times New Roman" w:cs="Times New Roman"/>
                <w:bCs/>
                <w:lang w:eastAsia="en-US"/>
              </w:rPr>
              <w:t xml:space="preserve">области на поддержку отрасли культуры </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2 02  25558  05  0000 151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численностью до 300 тысяч жителей</w:t>
            </w:r>
          </w:p>
        </w:tc>
      </w:tr>
      <w:tr w:rsidR="00B90FA1" w:rsidRPr="009E7AD2" w:rsidTr="00B90FA1">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2 02 29999 05 0029 151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B90FA1" w:rsidRPr="009E7AD2" w:rsidTr="00B90FA1">
        <w:trPr>
          <w:trHeight w:val="2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2 02 29999 05 0033 151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Субсидии бюджетам муниципальных районов области на </w:t>
            </w:r>
            <w:r w:rsidRPr="009E7AD2">
              <w:rPr>
                <w:rFonts w:ascii="Times New Roman" w:hAnsi="Times New Roman" w:cs="Times New Roman"/>
                <w:bCs/>
                <w:lang w:eastAsia="en-US"/>
              </w:rPr>
              <w:lastRenderedPageBreak/>
              <w:t>обеспечение деятельности муниципальных бизнес-инкубаторов</w:t>
            </w:r>
          </w:p>
        </w:tc>
      </w:tr>
      <w:tr w:rsidR="00B90FA1" w:rsidRPr="009E7AD2" w:rsidTr="00B90FA1">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B90FA1" w:rsidRPr="009E7AD2" w:rsidTr="00B90FA1">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rPr>
            </w:pPr>
            <w:r w:rsidRPr="009E7AD2">
              <w:rPr>
                <w:rFonts w:ascii="Times New Roman" w:hAnsi="Times New Roman" w:cs="Times New Roman"/>
              </w:rPr>
              <w:t xml:space="preserve">Субсидия бюджетам муниципальных районов области на комплексное обустройство </w:t>
            </w:r>
            <w:r w:rsidRPr="009E7AD2">
              <w:rPr>
                <w:rFonts w:ascii="Times New Roman" w:hAnsi="Times New Roman" w:cs="Times New Roman"/>
                <w:bCs/>
              </w:rPr>
              <w:t>объектами социальной и инженерной инфраструктуры</w:t>
            </w:r>
            <w:r w:rsidRPr="009E7AD2">
              <w:rPr>
                <w:rFonts w:ascii="Times New Roman" w:hAnsi="Times New Roman" w:cs="Times New Roman"/>
              </w:rPr>
              <w:t xml:space="preserve"> населенных пунктов, расположенных в сельской местности</w:t>
            </w:r>
          </w:p>
        </w:tc>
      </w:tr>
      <w:tr w:rsidR="00B90FA1" w:rsidRPr="009E7AD2" w:rsidTr="00B90FA1">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rPr>
            </w:pPr>
            <w:r w:rsidRPr="009E7AD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rPr>
            </w:pPr>
            <w:r w:rsidRPr="009E7AD2">
              <w:rPr>
                <w:rFonts w:ascii="Times New Roman" w:hAnsi="Times New Roman" w:cs="Times New Roman"/>
                <w:bCs/>
              </w:rPr>
              <w:t>2 02 29999 05 0063 151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rPr>
            </w:pPr>
            <w:r w:rsidRPr="009E7AD2">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2 02 29999 05 0064 151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области на создание в дошкольных 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области на реализацию мероприятий по содействию создания новых мест в общеобразовательных организациях</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2 02 29999 05 0066 151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 xml:space="preserve"> 2 02 29999 05 0067 151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за счет средств областного дорожного фонда</w:t>
            </w:r>
          </w:p>
        </w:tc>
      </w:tr>
      <w:tr w:rsidR="00B90FA1" w:rsidRPr="009E7AD2" w:rsidTr="00501B39">
        <w:trPr>
          <w:trHeight w:val="120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eastAsia="Times New Roman" w:hAnsi="Times New Roman" w:cs="Times New Roman"/>
                <w:bCs/>
              </w:rPr>
            </w:pPr>
            <w:r w:rsidRPr="009E7AD2">
              <w:rPr>
                <w:rFonts w:ascii="Times New Roman" w:eastAsia="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eastAsia="Times New Roman" w:hAnsi="Times New Roman" w:cs="Times New Roman"/>
                <w:bCs/>
              </w:rPr>
            </w:pPr>
            <w:r w:rsidRPr="009E7AD2">
              <w:rPr>
                <w:rFonts w:ascii="Times New Roman" w:eastAsia="Times New Roman" w:hAnsi="Times New Roman" w:cs="Times New Roman"/>
                <w:bCs/>
              </w:rPr>
              <w:t>2 02 29999 05 0068 151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9E7AD2" w:rsidRDefault="00B90FA1" w:rsidP="00501B39">
            <w:pPr>
              <w:spacing w:after="0"/>
              <w:ind w:right="-38"/>
              <w:rPr>
                <w:rFonts w:ascii="Times New Roman" w:eastAsia="Times New Roman" w:hAnsi="Times New Roman" w:cs="Times New Roman"/>
              </w:rPr>
            </w:pPr>
            <w:r w:rsidRPr="009E7AD2">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501B39" w:rsidRPr="009E7AD2" w:rsidTr="00B90FA1">
        <w:trPr>
          <w:trHeight w:val="2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9E7AD2" w:rsidRDefault="007B4925" w:rsidP="00501B39">
            <w:pPr>
              <w:spacing w:after="0"/>
              <w:jc w:val="center"/>
              <w:rPr>
                <w:rFonts w:ascii="Times New Roman" w:eastAsia="Times New Roman" w:hAnsi="Times New Roman" w:cs="Times New Roman"/>
                <w:bCs/>
              </w:rPr>
            </w:pPr>
            <w:r w:rsidRPr="009E7AD2">
              <w:rPr>
                <w:rFonts w:ascii="Times New Roman" w:eastAsia="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9E7AD2" w:rsidRDefault="007B4925" w:rsidP="00501B39">
            <w:pPr>
              <w:spacing w:after="0"/>
              <w:jc w:val="center"/>
              <w:rPr>
                <w:rFonts w:ascii="Times New Roman" w:eastAsia="Times New Roman" w:hAnsi="Times New Roman" w:cs="Times New Roman"/>
                <w:bCs/>
              </w:rPr>
            </w:pPr>
            <w:r w:rsidRPr="009E7AD2">
              <w:rPr>
                <w:rFonts w:ascii="Times New Roman" w:eastAsia="Times New Roman" w:hAnsi="Times New Roman" w:cs="Times New Roman"/>
                <w:bCs/>
              </w:rPr>
              <w:t>2 02 29999 05 0069 151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9E7AD2" w:rsidRDefault="007B4925" w:rsidP="00501B39">
            <w:pPr>
              <w:spacing w:after="0"/>
              <w:ind w:right="-38"/>
              <w:rPr>
                <w:rFonts w:ascii="Times New Roman" w:eastAsia="Times New Roman" w:hAnsi="Times New Roman" w:cs="Times New Roman"/>
              </w:rPr>
            </w:pPr>
            <w:r w:rsidRPr="009E7AD2">
              <w:rPr>
                <w:rFonts w:ascii="Times New Roman" w:hAnsi="Times New Roman" w:cs="Times New Roman"/>
                <w:bCs/>
                <w:lang w:eastAsia="en-US"/>
              </w:rPr>
              <w:t xml:space="preserve">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      </w:t>
            </w:r>
          </w:p>
        </w:tc>
      </w:tr>
      <w:tr w:rsidR="00B90FA1" w:rsidRPr="009E7AD2" w:rsidTr="00B90FA1">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rsidP="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2 02 30000 00 0000 151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
                <w:bCs/>
                <w:lang w:eastAsia="en-US"/>
              </w:rPr>
            </w:pPr>
            <w:r w:rsidRPr="009E7AD2">
              <w:rPr>
                <w:rFonts w:ascii="Times New Roman" w:hAnsi="Times New Roman" w:cs="Times New Roman"/>
                <w:b/>
                <w:bCs/>
                <w:lang w:eastAsia="en-US"/>
              </w:rPr>
              <w:t>Субвенции</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w:t>
            </w:r>
            <w:r w:rsidRPr="009E7AD2">
              <w:rPr>
                <w:rFonts w:ascii="Times New Roman" w:hAnsi="Times New Roman" w:cs="Times New Roman"/>
                <w:bCs/>
                <w:lang w:eastAsia="en-US"/>
              </w:rPr>
              <w:lastRenderedPageBreak/>
              <w:t>образований области</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Субвенция бюджетам муниципальных районов области на  исполнение государственных полномочий по расчету и предоставлению дотаций поселениям</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Субвенции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proofErr w:type="gramStart"/>
            <w:r w:rsidRPr="009E7AD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roofErr w:type="gramEnd"/>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proofErr w:type="gramStart"/>
            <w:r w:rsidRPr="009E7AD2">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B90FA1" w:rsidRPr="009E7AD2" w:rsidTr="00B90FA1">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proofErr w:type="gramStart"/>
            <w:r w:rsidRPr="009E7AD2">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B90FA1" w:rsidRPr="009E7AD2" w:rsidTr="00B90FA1">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B90FA1" w:rsidRPr="009E7AD2" w:rsidTr="00B90FA1">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B90FA1" w:rsidRPr="009E7AD2" w:rsidTr="00B90FA1">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B90FA1" w:rsidRPr="009E7AD2" w:rsidTr="00B90FA1">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B90FA1" w:rsidRPr="009E7AD2" w:rsidTr="00B90FA1">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B90FA1" w:rsidRPr="009E7AD2" w:rsidTr="00837A92">
        <w:trPr>
          <w:trHeight w:val="66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2 02 30024 05 0040 151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rPr>
            </w:pPr>
            <w:r w:rsidRPr="009E7AD2">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837A92" w:rsidRPr="009E7AD2" w:rsidTr="00B90FA1">
        <w:trPr>
          <w:trHeight w:val="19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7A92" w:rsidRPr="009E7AD2" w:rsidRDefault="00837A92" w:rsidP="00837A92">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7A92" w:rsidRPr="009E7AD2" w:rsidRDefault="000A72F5" w:rsidP="00837A92">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2 02 35120 05 0000 151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7A92" w:rsidRPr="009E7AD2" w:rsidRDefault="00837A92" w:rsidP="00837A92">
            <w:pPr>
              <w:rPr>
                <w:rFonts w:ascii="Times New Roman" w:hAnsi="Times New Roman" w:cs="Times New Roman"/>
                <w:color w:val="000000"/>
              </w:rPr>
            </w:pPr>
            <w:r w:rsidRPr="009E7AD2">
              <w:rPr>
                <w:rFonts w:ascii="Times New Roman" w:hAnsi="Times New Roman" w:cs="Times New Roman"/>
                <w:color w:val="000000"/>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w:t>
            </w:r>
            <w:r w:rsidRPr="009E7AD2">
              <w:rPr>
                <w:rFonts w:ascii="Times New Roman" w:hAnsi="Times New Roman" w:cs="Times New Roman"/>
                <w:color w:val="000000"/>
              </w:rPr>
              <w:lastRenderedPageBreak/>
              <w:t>Российской Федерации</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rsidP="00B90FA1">
            <w:pPr>
              <w:spacing w:after="0"/>
              <w:jc w:val="center"/>
              <w:rPr>
                <w:rFonts w:ascii="Times New Roman" w:hAnsi="Times New Roman" w:cs="Times New Roman"/>
                <w:b/>
                <w:bCs/>
                <w:lang w:eastAsia="en-US"/>
              </w:rPr>
            </w:pPr>
            <w:r w:rsidRPr="009E7AD2">
              <w:rPr>
                <w:rFonts w:ascii="Times New Roman" w:hAnsi="Times New Roman" w:cs="Times New Roman"/>
                <w:b/>
                <w:bCs/>
                <w:lang w:eastAsia="en-US"/>
              </w:rPr>
              <w:t>2 02 40000 00 0000 151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
                <w:bCs/>
                <w:lang w:eastAsia="en-US"/>
              </w:rPr>
            </w:pPr>
            <w:r w:rsidRPr="009E7AD2">
              <w:rPr>
                <w:rFonts w:ascii="Times New Roman" w:hAnsi="Times New Roman" w:cs="Times New Roman"/>
                <w:b/>
                <w:bCs/>
                <w:lang w:eastAsia="en-US"/>
              </w:rPr>
              <w:t>Иные межбюджетные трансферты</w:t>
            </w:r>
          </w:p>
        </w:tc>
      </w:tr>
      <w:tr w:rsidR="00B90FA1"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2 02 40014 05 0000 151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B90FA1" w:rsidRPr="009E7AD2"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2 02 49999 05 0006 151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p>
        </w:tc>
      </w:tr>
      <w:tr w:rsidR="00B90FA1" w:rsidRPr="009E7AD2"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2 02 49999 05 0007 151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работы (услуги) в 2015 году по строительству, реконструкции, капитальному и текущему ремонту зданий дошкольных образовательных организаций, приобретению оборудования для оснащения дополнительных мест в дошкольных образовательных организациях</w:t>
            </w:r>
          </w:p>
        </w:tc>
      </w:tr>
      <w:tr w:rsidR="00B90FA1" w:rsidRPr="009E7AD2"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2 02 49999 05 0008 151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rPr>
                <w:rFonts w:ascii="Times New Roman" w:hAnsi="Times New Roman" w:cs="Times New Roman"/>
                <w:bCs/>
                <w:lang w:eastAsia="en-US"/>
              </w:rPr>
            </w:pPr>
            <w:r w:rsidRPr="009E7AD2">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в 2015 году объемы работ по комплексному обустройству объектами социальной и инженерной инфраструктуры населенных пунктов, расположенных в сельской местности, по строительству и реконструкции автомобильных дорог</w:t>
            </w:r>
          </w:p>
        </w:tc>
      </w:tr>
      <w:tr w:rsidR="00B90FA1" w:rsidRPr="009E7AD2" w:rsidTr="00E92C16">
        <w:trPr>
          <w:trHeight w:val="16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9E7AD2" w:rsidRDefault="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2 02 49999 05 0010 151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B90FA1" w:rsidP="00E92C16">
            <w:pPr>
              <w:spacing w:after="0"/>
              <w:rPr>
                <w:rFonts w:ascii="Times New Roman" w:hAnsi="Times New Roman" w:cs="Times New Roman"/>
                <w:bCs/>
                <w:lang w:eastAsia="en-US"/>
              </w:rPr>
            </w:pPr>
            <w:r w:rsidRPr="009E7AD2">
              <w:rPr>
                <w:rFonts w:ascii="Times New Roman" w:hAnsi="Times New Roman" w:cs="Times New Roman"/>
                <w:bCs/>
                <w:lang w:eastAsia="en-US"/>
              </w:rPr>
              <w:t>Межбюджетные трансферты, передаваемые бюджетам муниципальных районов области  в целях проведения работ по обустройству пешеходных зон, велосипедных дорожек, благоустройству территорий, прилегающих к пешеходным зонам, созданию парковок, обустройству территории для организации отдыха населения у воды</w:t>
            </w:r>
          </w:p>
        </w:tc>
      </w:tr>
      <w:tr w:rsidR="00E92C16" w:rsidRPr="009E7AD2" w:rsidTr="00900E2C">
        <w:trPr>
          <w:trHeight w:val="164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032AED">
            <w:pPr>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032AED">
            <w:pPr>
              <w:jc w:val="center"/>
              <w:rPr>
                <w:rFonts w:ascii="Times New Roman" w:hAnsi="Times New Roman" w:cs="Times New Roman"/>
                <w:bCs/>
                <w:lang w:eastAsia="en-US"/>
              </w:rPr>
            </w:pPr>
            <w:r w:rsidRPr="009E7AD2">
              <w:rPr>
                <w:rFonts w:ascii="Times New Roman" w:hAnsi="Times New Roman" w:cs="Times New Roman"/>
                <w:bCs/>
                <w:lang w:eastAsia="en-US"/>
              </w:rPr>
              <w:t>2 02 49999 05 0011 151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032AED">
            <w:pPr>
              <w:jc w:val="both"/>
              <w:rPr>
                <w:rFonts w:ascii="Times New Roman" w:hAnsi="Times New Roman" w:cs="Times New Roman"/>
                <w:bCs/>
                <w:lang w:eastAsia="en-US"/>
              </w:rPr>
            </w:pPr>
            <w:r w:rsidRPr="009E7AD2">
              <w:rPr>
                <w:rFonts w:ascii="Times New Roman" w:hAnsi="Times New Roman" w:cs="Times New Roman"/>
                <w:bCs/>
                <w:lang w:eastAsia="en-US"/>
              </w:rPr>
              <w:t>Иные межбюджетные трансферты бюджетам муниципальных районов области на погашение кредиторской задолженности за выполненные в 2016 году объемы работ по капитальному ремонту, ремонту и содержанию автомобильных дорог общего пользования местного значения за счет неиспользованного остатка средств областного дорожного фонда прошлого года</w:t>
            </w:r>
          </w:p>
        </w:tc>
      </w:tr>
      <w:tr w:rsidR="00900E2C" w:rsidRPr="009E7AD2" w:rsidTr="00B90FA1">
        <w:trPr>
          <w:trHeight w:val="25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0E2C" w:rsidRPr="009E7AD2" w:rsidRDefault="00900E2C" w:rsidP="00032AED">
            <w:pPr>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0E2C" w:rsidRPr="009E7AD2" w:rsidRDefault="000A72F5" w:rsidP="00032AED">
            <w:pPr>
              <w:jc w:val="center"/>
              <w:rPr>
                <w:rFonts w:ascii="Times New Roman" w:hAnsi="Times New Roman" w:cs="Times New Roman"/>
                <w:bCs/>
                <w:lang w:eastAsia="en-US"/>
              </w:rPr>
            </w:pPr>
            <w:r w:rsidRPr="009E7AD2">
              <w:rPr>
                <w:rFonts w:ascii="Times New Roman" w:hAnsi="Times New Roman" w:cs="Times New Roman"/>
                <w:bCs/>
                <w:lang w:eastAsia="en-US"/>
              </w:rPr>
              <w:t>2 02 49999 05 0013 151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0E2C" w:rsidRPr="009E7AD2" w:rsidRDefault="000A72F5" w:rsidP="000A72F5">
            <w:pPr>
              <w:jc w:val="both"/>
              <w:rPr>
                <w:rFonts w:ascii="Times New Roman" w:hAnsi="Times New Roman" w:cs="Times New Roman"/>
                <w:bCs/>
                <w:lang w:eastAsia="en-US"/>
              </w:rPr>
            </w:pPr>
            <w:r w:rsidRPr="009E7AD2">
              <w:rPr>
                <w:rFonts w:ascii="Times New Roman" w:hAnsi="Times New Roman" w:cs="Times New Roman"/>
                <w:bCs/>
                <w:lang w:eastAsia="en-US"/>
              </w:rPr>
              <w:t>М</w:t>
            </w:r>
            <w:r w:rsidR="00900E2C" w:rsidRPr="009E7AD2">
              <w:rPr>
                <w:rFonts w:ascii="Times New Roman" w:hAnsi="Times New Roman" w:cs="Times New Roman"/>
                <w:bCs/>
                <w:lang w:eastAsia="en-US"/>
              </w:rPr>
              <w:t>ежбюджетные трансферты</w:t>
            </w:r>
            <w:r w:rsidRPr="009E7AD2">
              <w:rPr>
                <w:rFonts w:ascii="Times New Roman" w:hAnsi="Times New Roman" w:cs="Times New Roman"/>
                <w:bCs/>
                <w:lang w:eastAsia="en-US"/>
              </w:rPr>
              <w:t>, передаваемые</w:t>
            </w:r>
            <w:r w:rsidR="00900E2C" w:rsidRPr="009E7AD2">
              <w:rPr>
                <w:rFonts w:ascii="Times New Roman" w:hAnsi="Times New Roman" w:cs="Times New Roman"/>
                <w:bCs/>
                <w:lang w:eastAsia="en-US"/>
              </w:rPr>
              <w:t xml:space="preserve"> </w:t>
            </w:r>
            <w:r w:rsidRPr="009E7AD2">
              <w:rPr>
                <w:rFonts w:ascii="Times New Roman" w:hAnsi="Times New Roman" w:cs="Times New Roman"/>
                <w:bCs/>
                <w:lang w:eastAsia="en-US"/>
              </w:rPr>
              <w:t xml:space="preserve">бюджетам муниципальных районов </w:t>
            </w:r>
            <w:r w:rsidR="00900E2C" w:rsidRPr="009E7AD2">
              <w:rPr>
                <w:rFonts w:ascii="Times New Roman" w:hAnsi="Times New Roman" w:cs="Times New Roman"/>
                <w:bCs/>
                <w:lang w:eastAsia="en-US"/>
              </w:rPr>
              <w:t xml:space="preserve">области в целях обеспечения надлежащего осуществления полномочий по решению вопросов местного значения </w:t>
            </w:r>
          </w:p>
        </w:tc>
      </w:tr>
      <w:tr w:rsidR="00E92C16"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2 02 49999 05 0000 151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E92C16"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Прочие безвозмездные поступления в бюджеты муниципальных районов</w:t>
            </w:r>
          </w:p>
        </w:tc>
      </w:tr>
      <w:tr w:rsidR="00E92C16" w:rsidRPr="009E7AD2" w:rsidTr="00B90FA1">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rPr>
              <w:t xml:space="preserve">Перечисления из бюджетов поселений </w:t>
            </w:r>
            <w:proofErr w:type="gramStart"/>
            <w:r w:rsidRPr="009E7AD2">
              <w:rPr>
                <w:rFonts w:ascii="Times New Roman" w:hAnsi="Times New Roman" w:cs="Times New Roman"/>
                <w:bCs/>
              </w:rPr>
              <w:t xml:space="preserve">( </w:t>
            </w:r>
            <w:proofErr w:type="gramEnd"/>
            <w:r w:rsidRPr="009E7AD2">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92C16" w:rsidRPr="009E7AD2" w:rsidTr="00B90FA1">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2 18 60010 05 0000 151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92C16" w:rsidRPr="009E7AD2" w:rsidTr="00B90FA1">
        <w:trPr>
          <w:trHeight w:val="75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B90FA1">
            <w:pPr>
              <w:jc w:val="center"/>
              <w:rPr>
                <w:rFonts w:ascii="Times New Roman" w:hAnsi="Times New Roman" w:cs="Times New Roman"/>
                <w:bCs/>
                <w:lang w:eastAsia="en-US"/>
              </w:rPr>
            </w:pPr>
            <w:r w:rsidRPr="009E7AD2">
              <w:rPr>
                <w:rFonts w:ascii="Times New Roman" w:hAnsi="Times New Roman" w:cs="Times New Roman"/>
                <w:bCs/>
                <w:lang w:eastAsia="en-US"/>
              </w:rPr>
              <w:t>2 19 25020 05 0000 151</w:t>
            </w:r>
          </w:p>
        </w:tc>
        <w:tc>
          <w:tcPr>
            <w:tcW w:w="6822" w:type="dxa"/>
            <w:gridSpan w:val="2"/>
            <w:tcBorders>
              <w:top w:val="single" w:sz="4" w:space="0" w:color="auto"/>
              <w:left w:val="single" w:sz="4" w:space="0" w:color="auto"/>
              <w:bottom w:val="single" w:sz="4" w:space="0" w:color="auto"/>
              <w:right w:val="single" w:sz="4" w:space="0" w:color="auto"/>
            </w:tcBorders>
            <w:hideMark/>
          </w:tcPr>
          <w:p w:rsidR="00E92C16" w:rsidRPr="009E7AD2" w:rsidRDefault="00E92C16" w:rsidP="00B90FA1">
            <w:pPr>
              <w:spacing w:line="240" w:lineRule="auto"/>
              <w:jc w:val="both"/>
              <w:rPr>
                <w:rFonts w:ascii="Times New Roman" w:hAnsi="Times New Roman" w:cs="Times New Roman"/>
                <w:bCs/>
                <w:lang w:eastAsia="en-US"/>
              </w:rPr>
            </w:pPr>
            <w:r w:rsidRPr="009E7AD2">
              <w:rPr>
                <w:rFonts w:ascii="Times New Roman" w:hAnsi="Times New Roman" w:cs="Times New Roman"/>
                <w:bCs/>
                <w:lang w:eastAsia="en-US"/>
              </w:rPr>
              <w:t xml:space="preserve">Возврат остатков субсидий на мероприятия подпрограммы «Обеспечение жильем молодых семей» федеральной целевой программы «Жилище» на 2015-2020 годы из бюджетов </w:t>
            </w:r>
            <w:r w:rsidRPr="009E7AD2">
              <w:rPr>
                <w:rFonts w:ascii="Times New Roman" w:hAnsi="Times New Roman" w:cs="Times New Roman"/>
                <w:bCs/>
                <w:lang w:eastAsia="en-US"/>
              </w:rPr>
              <w:lastRenderedPageBreak/>
              <w:t>муниципальных районов</w:t>
            </w:r>
          </w:p>
        </w:tc>
      </w:tr>
      <w:tr w:rsidR="00E92C16" w:rsidRPr="009E7AD2" w:rsidTr="00B90FA1">
        <w:trPr>
          <w:trHeight w:val="8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B90FA1">
            <w:pPr>
              <w:spacing w:after="0"/>
              <w:jc w:val="center"/>
              <w:rPr>
                <w:rFonts w:ascii="Times New Roman" w:hAnsi="Times New Roman" w:cs="Times New Roman"/>
                <w:bCs/>
                <w:lang w:eastAsia="en-US"/>
              </w:rPr>
            </w:pPr>
            <w:r w:rsidRPr="009E7AD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B90FA1">
            <w:pPr>
              <w:jc w:val="center"/>
              <w:rPr>
                <w:rFonts w:ascii="Times New Roman" w:hAnsi="Times New Roman" w:cs="Times New Roman"/>
                <w:bCs/>
                <w:lang w:eastAsia="en-US"/>
              </w:rPr>
            </w:pPr>
            <w:r w:rsidRPr="009E7AD2">
              <w:rPr>
                <w:rFonts w:ascii="Times New Roman" w:hAnsi="Times New Roman" w:cs="Times New Roman"/>
                <w:bCs/>
                <w:lang w:eastAsia="en-US"/>
              </w:rPr>
              <w:t>2 19 60010 05 0000 151</w:t>
            </w:r>
          </w:p>
        </w:tc>
        <w:tc>
          <w:tcPr>
            <w:tcW w:w="6822" w:type="dxa"/>
            <w:gridSpan w:val="2"/>
            <w:tcBorders>
              <w:top w:val="single" w:sz="4" w:space="0" w:color="auto"/>
              <w:left w:val="single" w:sz="4" w:space="0" w:color="auto"/>
              <w:bottom w:val="single" w:sz="4" w:space="0" w:color="auto"/>
              <w:right w:val="single" w:sz="4" w:space="0" w:color="auto"/>
            </w:tcBorders>
            <w:hideMark/>
          </w:tcPr>
          <w:p w:rsidR="00E92C16" w:rsidRPr="009E7AD2" w:rsidRDefault="00E92C16" w:rsidP="00B90FA1">
            <w:pPr>
              <w:spacing w:line="240" w:lineRule="auto"/>
              <w:jc w:val="both"/>
              <w:rPr>
                <w:rFonts w:ascii="Times New Roman" w:hAnsi="Times New Roman" w:cs="Times New Roman"/>
                <w:bCs/>
                <w:lang w:eastAsia="en-US"/>
              </w:rPr>
            </w:pPr>
            <w:r w:rsidRPr="009E7AD2">
              <w:rPr>
                <w:rFonts w:ascii="Times New Roman" w:hAnsi="Times New Roman" w:cs="Times New Roman"/>
                <w:bCs/>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2C16"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rsidP="00B90FA1">
            <w:pPr>
              <w:spacing w:after="0"/>
              <w:jc w:val="center"/>
              <w:rPr>
                <w:rFonts w:ascii="Times New Roman" w:hAnsi="Times New Roman" w:cs="Times New Roman"/>
                <w:b/>
                <w:bCs/>
                <w:sz w:val="28"/>
                <w:szCs w:val="28"/>
                <w:lang w:eastAsia="en-US"/>
              </w:rPr>
            </w:pPr>
            <w:r w:rsidRPr="009E7AD2">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
                <w:bCs/>
                <w:lang w:eastAsia="en-US"/>
              </w:rPr>
            </w:pPr>
            <w:r w:rsidRPr="009E7AD2">
              <w:rPr>
                <w:rFonts w:ascii="Times New Roman" w:hAnsi="Times New Roman" w:cs="Times New Roman"/>
                <w:b/>
                <w:bCs/>
                <w:lang w:eastAsia="en-US"/>
              </w:rPr>
              <w:t>Управление образования администрации Дергачевского муниципального района</w:t>
            </w:r>
          </w:p>
        </w:tc>
      </w:tr>
      <w:tr w:rsidR="00E92C16"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E92C16" w:rsidRPr="009E7AD2"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Невыясненные поступления, зачисляемые в бюджеты муниципальных районов</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9E7AD2" w:rsidRDefault="00E92C16">
            <w:pPr>
              <w:spacing w:after="0"/>
              <w:jc w:val="center"/>
              <w:rPr>
                <w:rFonts w:ascii="Times New Roman" w:hAnsi="Times New Roman" w:cs="Times New Roman"/>
                <w:bCs/>
                <w:lang w:eastAsia="en-US"/>
              </w:rPr>
            </w:pPr>
            <w:r w:rsidRPr="009E7AD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sidRPr="009E7AD2">
              <w:rPr>
                <w:rFonts w:ascii="Times New Roman" w:hAnsi="Times New Roman" w:cs="Times New Roman"/>
                <w:bCs/>
                <w:lang w:eastAsia="en-US"/>
              </w:rPr>
              <w:t>Прочие неналоговые доходы бюджетов муниципальных районов</w:t>
            </w:r>
          </w:p>
        </w:tc>
      </w:tr>
    </w:tbl>
    <w:p w:rsidR="00B90FA1" w:rsidRDefault="00B90FA1" w:rsidP="00B90FA1">
      <w:pPr>
        <w:spacing w:after="0"/>
        <w:rPr>
          <w:rFonts w:ascii="Times New Roman" w:hAnsi="Times New Roman" w:cs="Times New Roman"/>
        </w:rPr>
      </w:pPr>
    </w:p>
    <w:p w:rsidR="00B90FA1" w:rsidRDefault="00B90FA1" w:rsidP="00B90FA1">
      <w:pPr>
        <w:pStyle w:val="a3"/>
        <w:tabs>
          <w:tab w:val="left" w:pos="7075"/>
        </w:tabs>
        <w:jc w:val="both"/>
        <w:rPr>
          <w:rFonts w:ascii="Times New Roman" w:hAnsi="Times New Roman" w:cs="Times New Roman"/>
          <w:b/>
          <w:sz w:val="28"/>
          <w:szCs w:val="28"/>
        </w:rPr>
      </w:pPr>
    </w:p>
    <w:p w:rsidR="00C337F4" w:rsidRDefault="00C337F4" w:rsidP="00B90FA1">
      <w:pPr>
        <w:pStyle w:val="a3"/>
        <w:tabs>
          <w:tab w:val="left" w:pos="7075"/>
        </w:tabs>
        <w:jc w:val="both"/>
        <w:rPr>
          <w:rFonts w:ascii="Times New Roman" w:hAnsi="Times New Roman" w:cs="Times New Roman"/>
          <w:b/>
          <w:sz w:val="28"/>
          <w:szCs w:val="28"/>
        </w:rPr>
      </w:pPr>
    </w:p>
    <w:p w:rsidR="009311EF" w:rsidRPr="00DF07BE" w:rsidRDefault="009311EF" w:rsidP="00B90FA1">
      <w:pPr>
        <w:pStyle w:val="a3"/>
        <w:jc w:val="right"/>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D95272"/>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9"/>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398D"/>
    <w:rsid w:val="00000FF8"/>
    <w:rsid w:val="00005815"/>
    <w:rsid w:val="0001466C"/>
    <w:rsid w:val="00015DC2"/>
    <w:rsid w:val="00017990"/>
    <w:rsid w:val="00021145"/>
    <w:rsid w:val="0002154B"/>
    <w:rsid w:val="00032AED"/>
    <w:rsid w:val="00037DD4"/>
    <w:rsid w:val="000431CE"/>
    <w:rsid w:val="0004756B"/>
    <w:rsid w:val="00053849"/>
    <w:rsid w:val="000608C6"/>
    <w:rsid w:val="000651F3"/>
    <w:rsid w:val="0008733F"/>
    <w:rsid w:val="00097DE2"/>
    <w:rsid w:val="000A5307"/>
    <w:rsid w:val="000A72F5"/>
    <w:rsid w:val="000B2AD3"/>
    <w:rsid w:val="000B4F22"/>
    <w:rsid w:val="000B74CC"/>
    <w:rsid w:val="000B7E1B"/>
    <w:rsid w:val="000C52EB"/>
    <w:rsid w:val="000C54C4"/>
    <w:rsid w:val="000C7A50"/>
    <w:rsid w:val="000E6FC8"/>
    <w:rsid w:val="000E7753"/>
    <w:rsid w:val="000F05CC"/>
    <w:rsid w:val="000F76F2"/>
    <w:rsid w:val="001014D1"/>
    <w:rsid w:val="0011093D"/>
    <w:rsid w:val="001112E9"/>
    <w:rsid w:val="001124FC"/>
    <w:rsid w:val="00123974"/>
    <w:rsid w:val="00127465"/>
    <w:rsid w:val="001327FD"/>
    <w:rsid w:val="00132B7F"/>
    <w:rsid w:val="0014043A"/>
    <w:rsid w:val="00144119"/>
    <w:rsid w:val="0014655E"/>
    <w:rsid w:val="00146A7E"/>
    <w:rsid w:val="00152466"/>
    <w:rsid w:val="0015347F"/>
    <w:rsid w:val="00162993"/>
    <w:rsid w:val="00166FC0"/>
    <w:rsid w:val="00171C9F"/>
    <w:rsid w:val="00173510"/>
    <w:rsid w:val="00176B80"/>
    <w:rsid w:val="00181DF1"/>
    <w:rsid w:val="00185E8D"/>
    <w:rsid w:val="001864BE"/>
    <w:rsid w:val="00190FD8"/>
    <w:rsid w:val="001949EA"/>
    <w:rsid w:val="001A101F"/>
    <w:rsid w:val="001A39A4"/>
    <w:rsid w:val="001A407B"/>
    <w:rsid w:val="001A79DA"/>
    <w:rsid w:val="001B13D1"/>
    <w:rsid w:val="001B3794"/>
    <w:rsid w:val="001C79E5"/>
    <w:rsid w:val="001D31AB"/>
    <w:rsid w:val="001D3DAF"/>
    <w:rsid w:val="001E5522"/>
    <w:rsid w:val="001E6496"/>
    <w:rsid w:val="001F3003"/>
    <w:rsid w:val="001F30C9"/>
    <w:rsid w:val="001F46DA"/>
    <w:rsid w:val="001F6324"/>
    <w:rsid w:val="00212C2F"/>
    <w:rsid w:val="002131A4"/>
    <w:rsid w:val="00213273"/>
    <w:rsid w:val="00233DC1"/>
    <w:rsid w:val="00242729"/>
    <w:rsid w:val="0024548B"/>
    <w:rsid w:val="00246D1E"/>
    <w:rsid w:val="002524A4"/>
    <w:rsid w:val="0025398D"/>
    <w:rsid w:val="00256C0B"/>
    <w:rsid w:val="002656E1"/>
    <w:rsid w:val="00265848"/>
    <w:rsid w:val="00270C9B"/>
    <w:rsid w:val="00273F2A"/>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2AEF"/>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17E4"/>
    <w:rsid w:val="003D2DB3"/>
    <w:rsid w:val="003E07BE"/>
    <w:rsid w:val="003E1700"/>
    <w:rsid w:val="003E475A"/>
    <w:rsid w:val="003E562E"/>
    <w:rsid w:val="003E6D9E"/>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BE5"/>
    <w:rsid w:val="004B4E76"/>
    <w:rsid w:val="004C2F07"/>
    <w:rsid w:val="004C326A"/>
    <w:rsid w:val="004D02E6"/>
    <w:rsid w:val="004D2148"/>
    <w:rsid w:val="004D23E3"/>
    <w:rsid w:val="004F116F"/>
    <w:rsid w:val="00501B39"/>
    <w:rsid w:val="00505DE8"/>
    <w:rsid w:val="005110B3"/>
    <w:rsid w:val="00512E62"/>
    <w:rsid w:val="00525000"/>
    <w:rsid w:val="00537AF6"/>
    <w:rsid w:val="00541CFF"/>
    <w:rsid w:val="00550482"/>
    <w:rsid w:val="00553FFB"/>
    <w:rsid w:val="005579A1"/>
    <w:rsid w:val="00565261"/>
    <w:rsid w:val="00571DD0"/>
    <w:rsid w:val="005722AD"/>
    <w:rsid w:val="00593BFB"/>
    <w:rsid w:val="005A210B"/>
    <w:rsid w:val="005A2CB9"/>
    <w:rsid w:val="005A7855"/>
    <w:rsid w:val="005B2520"/>
    <w:rsid w:val="005B51D0"/>
    <w:rsid w:val="005C5472"/>
    <w:rsid w:val="005C7C79"/>
    <w:rsid w:val="005D4E43"/>
    <w:rsid w:val="005D5037"/>
    <w:rsid w:val="005E25CC"/>
    <w:rsid w:val="005E61E3"/>
    <w:rsid w:val="005F4376"/>
    <w:rsid w:val="0060161E"/>
    <w:rsid w:val="00606B89"/>
    <w:rsid w:val="00617888"/>
    <w:rsid w:val="006209B7"/>
    <w:rsid w:val="00620B73"/>
    <w:rsid w:val="00621561"/>
    <w:rsid w:val="006224E8"/>
    <w:rsid w:val="0062632C"/>
    <w:rsid w:val="00626DF7"/>
    <w:rsid w:val="006308C3"/>
    <w:rsid w:val="00633DBF"/>
    <w:rsid w:val="0063564F"/>
    <w:rsid w:val="00637419"/>
    <w:rsid w:val="00644286"/>
    <w:rsid w:val="00660E40"/>
    <w:rsid w:val="00667FA2"/>
    <w:rsid w:val="00672DF0"/>
    <w:rsid w:val="00673059"/>
    <w:rsid w:val="006747F9"/>
    <w:rsid w:val="00674BC8"/>
    <w:rsid w:val="006755C1"/>
    <w:rsid w:val="0067635A"/>
    <w:rsid w:val="00676C6D"/>
    <w:rsid w:val="00677B50"/>
    <w:rsid w:val="00681C2B"/>
    <w:rsid w:val="00682E7C"/>
    <w:rsid w:val="00683B73"/>
    <w:rsid w:val="00691464"/>
    <w:rsid w:val="0069464E"/>
    <w:rsid w:val="00697E34"/>
    <w:rsid w:val="006A2A5D"/>
    <w:rsid w:val="006A487B"/>
    <w:rsid w:val="006A6D67"/>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24D0"/>
    <w:rsid w:val="00794271"/>
    <w:rsid w:val="00797AAD"/>
    <w:rsid w:val="007A4D3F"/>
    <w:rsid w:val="007B0D21"/>
    <w:rsid w:val="007B1260"/>
    <w:rsid w:val="007B4925"/>
    <w:rsid w:val="007C360E"/>
    <w:rsid w:val="007C7A04"/>
    <w:rsid w:val="007D5893"/>
    <w:rsid w:val="007D5D6F"/>
    <w:rsid w:val="007E2F2A"/>
    <w:rsid w:val="007F3CD8"/>
    <w:rsid w:val="00804C7F"/>
    <w:rsid w:val="00820C88"/>
    <w:rsid w:val="00833260"/>
    <w:rsid w:val="00835E5C"/>
    <w:rsid w:val="00837A92"/>
    <w:rsid w:val="008426FE"/>
    <w:rsid w:val="00844491"/>
    <w:rsid w:val="00844608"/>
    <w:rsid w:val="00850668"/>
    <w:rsid w:val="008559B7"/>
    <w:rsid w:val="00857404"/>
    <w:rsid w:val="00862225"/>
    <w:rsid w:val="00865540"/>
    <w:rsid w:val="008734F8"/>
    <w:rsid w:val="00873D7D"/>
    <w:rsid w:val="008806A9"/>
    <w:rsid w:val="00882260"/>
    <w:rsid w:val="0088344C"/>
    <w:rsid w:val="00892C37"/>
    <w:rsid w:val="00893F64"/>
    <w:rsid w:val="008942B7"/>
    <w:rsid w:val="008968F0"/>
    <w:rsid w:val="00897829"/>
    <w:rsid w:val="008A1B3A"/>
    <w:rsid w:val="008A79D2"/>
    <w:rsid w:val="008B5214"/>
    <w:rsid w:val="008B57E4"/>
    <w:rsid w:val="008C545D"/>
    <w:rsid w:val="008C5E78"/>
    <w:rsid w:val="008D18FD"/>
    <w:rsid w:val="008D4DC0"/>
    <w:rsid w:val="008D510D"/>
    <w:rsid w:val="008E2972"/>
    <w:rsid w:val="008E3A44"/>
    <w:rsid w:val="00900654"/>
    <w:rsid w:val="00900E2C"/>
    <w:rsid w:val="00907D02"/>
    <w:rsid w:val="0091110A"/>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54A7"/>
    <w:rsid w:val="009E6C25"/>
    <w:rsid w:val="009E7AD2"/>
    <w:rsid w:val="009F3D79"/>
    <w:rsid w:val="00A176C0"/>
    <w:rsid w:val="00A178EB"/>
    <w:rsid w:val="00A21C2C"/>
    <w:rsid w:val="00A26D0B"/>
    <w:rsid w:val="00A306F3"/>
    <w:rsid w:val="00A367EF"/>
    <w:rsid w:val="00A617A2"/>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4BFE"/>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6765C"/>
    <w:rsid w:val="00B717EE"/>
    <w:rsid w:val="00B75463"/>
    <w:rsid w:val="00B76A15"/>
    <w:rsid w:val="00B90FA1"/>
    <w:rsid w:val="00B921B8"/>
    <w:rsid w:val="00B93FF0"/>
    <w:rsid w:val="00BA7C03"/>
    <w:rsid w:val="00BB23E5"/>
    <w:rsid w:val="00BB3774"/>
    <w:rsid w:val="00BB6B44"/>
    <w:rsid w:val="00BC33E5"/>
    <w:rsid w:val="00BC5063"/>
    <w:rsid w:val="00BE07B4"/>
    <w:rsid w:val="00BE0B28"/>
    <w:rsid w:val="00BF500C"/>
    <w:rsid w:val="00C01A08"/>
    <w:rsid w:val="00C04582"/>
    <w:rsid w:val="00C10119"/>
    <w:rsid w:val="00C22410"/>
    <w:rsid w:val="00C27738"/>
    <w:rsid w:val="00C337F4"/>
    <w:rsid w:val="00C33C91"/>
    <w:rsid w:val="00C34B00"/>
    <w:rsid w:val="00C373EA"/>
    <w:rsid w:val="00C43596"/>
    <w:rsid w:val="00C4548E"/>
    <w:rsid w:val="00C46F0F"/>
    <w:rsid w:val="00C616BA"/>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073C3"/>
    <w:rsid w:val="00D13243"/>
    <w:rsid w:val="00D20C46"/>
    <w:rsid w:val="00D2665B"/>
    <w:rsid w:val="00D27C54"/>
    <w:rsid w:val="00D3720D"/>
    <w:rsid w:val="00D4066C"/>
    <w:rsid w:val="00D4251A"/>
    <w:rsid w:val="00D56A44"/>
    <w:rsid w:val="00D62926"/>
    <w:rsid w:val="00D6590D"/>
    <w:rsid w:val="00D73782"/>
    <w:rsid w:val="00D85B3E"/>
    <w:rsid w:val="00D86CE3"/>
    <w:rsid w:val="00D90DDE"/>
    <w:rsid w:val="00DA2DFA"/>
    <w:rsid w:val="00DA318C"/>
    <w:rsid w:val="00DA4384"/>
    <w:rsid w:val="00DB7F33"/>
    <w:rsid w:val="00DC058A"/>
    <w:rsid w:val="00DC234F"/>
    <w:rsid w:val="00DD322B"/>
    <w:rsid w:val="00DD743D"/>
    <w:rsid w:val="00DE5D73"/>
    <w:rsid w:val="00DF07BE"/>
    <w:rsid w:val="00DF39C9"/>
    <w:rsid w:val="00DF6A81"/>
    <w:rsid w:val="00E012A2"/>
    <w:rsid w:val="00E01BF0"/>
    <w:rsid w:val="00E03A0D"/>
    <w:rsid w:val="00E0747F"/>
    <w:rsid w:val="00E07A5E"/>
    <w:rsid w:val="00E1052A"/>
    <w:rsid w:val="00E12BCD"/>
    <w:rsid w:val="00E12D6B"/>
    <w:rsid w:val="00E17829"/>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2C16"/>
    <w:rsid w:val="00E93EDA"/>
    <w:rsid w:val="00EA3FEA"/>
    <w:rsid w:val="00EA5133"/>
    <w:rsid w:val="00EA627E"/>
    <w:rsid w:val="00EB6F20"/>
    <w:rsid w:val="00EC059A"/>
    <w:rsid w:val="00EC17DD"/>
    <w:rsid w:val="00EC1EF1"/>
    <w:rsid w:val="00EC30CA"/>
    <w:rsid w:val="00ED1C86"/>
    <w:rsid w:val="00ED4C44"/>
    <w:rsid w:val="00F12F99"/>
    <w:rsid w:val="00F21354"/>
    <w:rsid w:val="00F228A7"/>
    <w:rsid w:val="00F2489C"/>
    <w:rsid w:val="00F34E81"/>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93673"/>
    <w:rsid w:val="00FA6E1F"/>
    <w:rsid w:val="00FB5C01"/>
    <w:rsid w:val="00FB7D97"/>
    <w:rsid w:val="00FC336E"/>
    <w:rsid w:val="00FC6EC2"/>
    <w:rsid w:val="00FD3E80"/>
    <w:rsid w:val="00FD4CFD"/>
    <w:rsid w:val="00FD4F33"/>
    <w:rsid w:val="00FD5334"/>
    <w:rsid w:val="00FD7290"/>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unhideWhenUsed/>
    <w:rsid w:val="00DF07BE"/>
    <w:pPr>
      <w:spacing w:after="120"/>
    </w:pPr>
  </w:style>
  <w:style w:type="character" w:customStyle="1" w:styleId="a9">
    <w:name w:val="Основной текст Знак"/>
    <w:basedOn w:val="a0"/>
    <w:link w:val="a8"/>
    <w:uiPriority w:val="99"/>
    <w:rsid w:val="00DF07BE"/>
  </w:style>
  <w:style w:type="paragraph" w:customStyle="1" w:styleId="ConsPlusNormal">
    <w:name w:val="ConsPlusNormal"/>
    <w:rsid w:val="00D27C54"/>
    <w:pPr>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14516907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1701387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2730085">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370298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584AB-912F-473F-9A52-34D490C86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Pages>
  <Words>3346</Words>
  <Characters>19077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Korotenkova</cp:lastModifiedBy>
  <cp:revision>24</cp:revision>
  <cp:lastPrinted>2017-07-24T06:46:00Z</cp:lastPrinted>
  <dcterms:created xsi:type="dcterms:W3CDTF">2017-02-14T13:10:00Z</dcterms:created>
  <dcterms:modified xsi:type="dcterms:W3CDTF">2017-07-24T10:28:00Z</dcterms:modified>
</cp:coreProperties>
</file>